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-1886406245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b/>
          <w:bCs/>
          <w:color w:val="auto"/>
          <w:sz w:val="24"/>
          <w:szCs w:val="22"/>
          <w:lang w:eastAsia="en-US"/>
        </w:rPr>
      </w:sdtEndPr>
      <w:sdtContent>
        <w:p w:rsidR="00B7510E" w:rsidRPr="00B7510E" w:rsidRDefault="00B7510E">
          <w:pPr>
            <w:pStyle w:val="Titolosommario"/>
            <w:rPr>
              <w:sz w:val="36"/>
              <w:szCs w:val="36"/>
            </w:rPr>
          </w:pPr>
          <w:r w:rsidRPr="00B7510E">
            <w:rPr>
              <w:sz w:val="36"/>
              <w:szCs w:val="36"/>
            </w:rPr>
            <w:t>Sommario</w:t>
          </w:r>
        </w:p>
        <w:p w:rsidR="00623D23" w:rsidRDefault="00B7510E">
          <w:pPr>
            <w:pStyle w:val="Sommario2"/>
            <w:tabs>
              <w:tab w:val="right" w:leader="dot" w:pos="6902"/>
            </w:tabs>
            <w:rPr>
              <w:rFonts w:eastAsiaTheme="minorEastAsia"/>
              <w:noProof/>
              <w:sz w:val="22"/>
              <w:lang w:eastAsia="it-IT"/>
            </w:rPr>
          </w:pPr>
          <w:r w:rsidRPr="00B7510E">
            <w:rPr>
              <w:sz w:val="36"/>
              <w:szCs w:val="36"/>
            </w:rPr>
            <w:fldChar w:fldCharType="begin"/>
          </w:r>
          <w:r w:rsidRPr="00B7510E">
            <w:rPr>
              <w:sz w:val="36"/>
              <w:szCs w:val="36"/>
            </w:rPr>
            <w:instrText xml:space="preserve"> TOC \o "1-3" \h \z \u </w:instrText>
          </w:r>
          <w:r w:rsidRPr="00B7510E">
            <w:rPr>
              <w:sz w:val="36"/>
              <w:szCs w:val="36"/>
            </w:rPr>
            <w:fldChar w:fldCharType="separate"/>
          </w:r>
          <w:bookmarkStart w:id="0" w:name="_GoBack"/>
          <w:bookmarkEnd w:id="0"/>
          <w:r w:rsidR="00623D23" w:rsidRPr="006129DC">
            <w:rPr>
              <w:rStyle w:val="Collegamentoipertestuale"/>
              <w:noProof/>
            </w:rPr>
            <w:fldChar w:fldCharType="begin"/>
          </w:r>
          <w:r w:rsidR="00623D23" w:rsidRPr="006129DC">
            <w:rPr>
              <w:rStyle w:val="Collegamentoipertestuale"/>
              <w:noProof/>
            </w:rPr>
            <w:instrText xml:space="preserve"> </w:instrText>
          </w:r>
          <w:r w:rsidR="00623D23">
            <w:rPr>
              <w:noProof/>
            </w:rPr>
            <w:instrText>HYPERLINK \l "_Toc43990579"</w:instrText>
          </w:r>
          <w:r w:rsidR="00623D23" w:rsidRPr="006129DC">
            <w:rPr>
              <w:rStyle w:val="Collegamentoipertestuale"/>
              <w:noProof/>
            </w:rPr>
            <w:instrText xml:space="preserve"> </w:instrText>
          </w:r>
          <w:r w:rsidR="00623D23" w:rsidRPr="006129DC">
            <w:rPr>
              <w:rStyle w:val="Collegamentoipertestuale"/>
              <w:noProof/>
            </w:rPr>
          </w:r>
          <w:r w:rsidR="00623D23" w:rsidRPr="006129DC">
            <w:rPr>
              <w:rStyle w:val="Collegamentoipertestuale"/>
              <w:noProof/>
            </w:rPr>
            <w:fldChar w:fldCharType="separate"/>
          </w:r>
          <w:r w:rsidR="00623D23" w:rsidRPr="006129DC">
            <w:rPr>
              <w:rStyle w:val="Collegamentoipertestuale"/>
              <w:rFonts w:eastAsia="Times New Roman"/>
              <w:noProof/>
              <w:lang w:eastAsia="it-IT"/>
            </w:rPr>
            <w:t>Capo II Regime quadro della disciplina degli aiuti</w:t>
          </w:r>
          <w:r w:rsidR="00623D23">
            <w:rPr>
              <w:noProof/>
              <w:webHidden/>
            </w:rPr>
            <w:tab/>
          </w:r>
          <w:r w:rsidR="00623D23">
            <w:rPr>
              <w:noProof/>
              <w:webHidden/>
            </w:rPr>
            <w:fldChar w:fldCharType="begin"/>
          </w:r>
          <w:r w:rsidR="00623D23">
            <w:rPr>
              <w:noProof/>
              <w:webHidden/>
            </w:rPr>
            <w:instrText xml:space="preserve"> PAGEREF _Toc43990579 \h </w:instrText>
          </w:r>
          <w:r w:rsidR="00623D23">
            <w:rPr>
              <w:noProof/>
              <w:webHidden/>
            </w:rPr>
          </w:r>
          <w:r w:rsidR="00623D23">
            <w:rPr>
              <w:noProof/>
              <w:webHidden/>
            </w:rPr>
            <w:fldChar w:fldCharType="separate"/>
          </w:r>
          <w:r w:rsidR="00623D23">
            <w:rPr>
              <w:noProof/>
              <w:webHidden/>
            </w:rPr>
            <w:t>2</w:t>
          </w:r>
          <w:r w:rsidR="00623D23">
            <w:rPr>
              <w:noProof/>
              <w:webHidden/>
            </w:rPr>
            <w:fldChar w:fldCharType="end"/>
          </w:r>
          <w:r w:rsidR="00623D23" w:rsidRPr="006129DC">
            <w:rPr>
              <w:rStyle w:val="Collegamentoipertestuale"/>
              <w:noProof/>
            </w:rPr>
            <w:fldChar w:fldCharType="end"/>
          </w:r>
        </w:p>
        <w:p w:rsidR="00623D23" w:rsidRDefault="00623D23">
          <w:pPr>
            <w:pStyle w:val="Sommario3"/>
            <w:tabs>
              <w:tab w:val="right" w:leader="dot" w:pos="6902"/>
            </w:tabs>
            <w:rPr>
              <w:rFonts w:eastAsiaTheme="minorEastAsia"/>
              <w:noProof/>
              <w:sz w:val="22"/>
              <w:lang w:eastAsia="it-IT"/>
            </w:rPr>
          </w:pPr>
          <w:hyperlink w:anchor="_Toc43990580" w:history="1">
            <w:r w:rsidRPr="006129DC">
              <w:rPr>
                <w:rStyle w:val="Collegamentoipertestuale"/>
                <w:noProof/>
                <w:shd w:val="clear" w:color="auto" w:fill="F9F8F4"/>
              </w:rPr>
              <w:t>Art. 54 Aiuti sotto forma di sovvenzioni dirette, anticipi rimborsabili o agevolazioni fiscali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_Toc43990580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23D23" w:rsidRDefault="00623D23">
          <w:pPr>
            <w:pStyle w:val="Sommario3"/>
            <w:tabs>
              <w:tab w:val="right" w:leader="dot" w:pos="6902"/>
            </w:tabs>
            <w:rPr>
              <w:rFonts w:eastAsiaTheme="minorEastAsia"/>
              <w:noProof/>
              <w:sz w:val="22"/>
              <w:lang w:eastAsia="it-IT"/>
            </w:rPr>
          </w:pPr>
          <w:hyperlink w:anchor="_Toc43990581" w:history="1">
            <w:r w:rsidRPr="006129DC">
              <w:rPr>
                <w:rStyle w:val="Collegamentoipertestuale"/>
                <w:noProof/>
                <w:shd w:val="clear" w:color="auto" w:fill="F9F8F4"/>
              </w:rPr>
              <w:t>Art. 60 Aiuti sotto forma di sovvenzioni per il pagamento dei salari dei dipendenti per evitare i licenziamenti durante la pandemia di COVID-19 1.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_Toc43990581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7510E" w:rsidRDefault="00B7510E">
          <w:r w:rsidRPr="00B7510E">
            <w:rPr>
              <w:b/>
              <w:bCs/>
              <w:sz w:val="36"/>
              <w:szCs w:val="36"/>
            </w:rPr>
            <w:fldChar w:fldCharType="end"/>
          </w:r>
        </w:p>
      </w:sdtContent>
    </w:sdt>
    <w:p w:rsidR="00B7510E" w:rsidRDefault="00B7510E" w:rsidP="006F0160">
      <w:pPr>
        <w:pStyle w:val="Titolo2"/>
        <w:rPr>
          <w:rFonts w:eastAsia="Times New Roman"/>
          <w:lang w:eastAsia="it-IT"/>
        </w:rPr>
      </w:pPr>
    </w:p>
    <w:p w:rsidR="00B7510E" w:rsidRDefault="00B7510E" w:rsidP="00B7510E">
      <w:pPr>
        <w:rPr>
          <w:lang w:eastAsia="it-IT"/>
        </w:rPr>
      </w:pPr>
    </w:p>
    <w:p w:rsidR="00B7510E" w:rsidRDefault="00B7510E" w:rsidP="00B7510E">
      <w:pPr>
        <w:rPr>
          <w:lang w:eastAsia="it-IT"/>
        </w:rPr>
      </w:pPr>
    </w:p>
    <w:p w:rsidR="00B7510E" w:rsidRDefault="00B7510E" w:rsidP="00B7510E">
      <w:pPr>
        <w:rPr>
          <w:lang w:eastAsia="it-IT"/>
        </w:rPr>
      </w:pPr>
    </w:p>
    <w:p w:rsidR="00B7510E" w:rsidRDefault="00B7510E" w:rsidP="00B7510E">
      <w:pPr>
        <w:rPr>
          <w:lang w:eastAsia="it-IT"/>
        </w:rPr>
      </w:pPr>
    </w:p>
    <w:p w:rsidR="00B7510E" w:rsidRDefault="00B7510E" w:rsidP="00B7510E">
      <w:pPr>
        <w:rPr>
          <w:lang w:eastAsia="it-IT"/>
        </w:rPr>
      </w:pPr>
    </w:p>
    <w:p w:rsidR="00623D23" w:rsidRDefault="00623D23" w:rsidP="00B7510E">
      <w:pPr>
        <w:rPr>
          <w:lang w:eastAsia="it-IT"/>
        </w:rPr>
      </w:pPr>
    </w:p>
    <w:p w:rsidR="00623D23" w:rsidRDefault="00623D23" w:rsidP="00B7510E">
      <w:pPr>
        <w:rPr>
          <w:lang w:eastAsia="it-IT"/>
        </w:rPr>
      </w:pPr>
    </w:p>
    <w:p w:rsidR="00B7510E" w:rsidRDefault="00B7510E" w:rsidP="00B7510E">
      <w:pPr>
        <w:rPr>
          <w:lang w:eastAsia="it-IT"/>
        </w:rPr>
      </w:pPr>
    </w:p>
    <w:p w:rsidR="00B7510E" w:rsidRDefault="00B7510E" w:rsidP="00B7510E">
      <w:pPr>
        <w:rPr>
          <w:lang w:eastAsia="it-IT"/>
        </w:rPr>
      </w:pPr>
    </w:p>
    <w:p w:rsidR="00B7510E" w:rsidRDefault="00B7510E" w:rsidP="00B7510E">
      <w:pPr>
        <w:rPr>
          <w:lang w:eastAsia="it-IT"/>
        </w:rPr>
      </w:pPr>
    </w:p>
    <w:p w:rsidR="00B7510E" w:rsidRDefault="00B7510E" w:rsidP="00B7510E">
      <w:pPr>
        <w:rPr>
          <w:lang w:eastAsia="it-IT"/>
        </w:rPr>
      </w:pPr>
    </w:p>
    <w:p w:rsidR="00B7510E" w:rsidRDefault="00B7510E" w:rsidP="00B7510E">
      <w:pPr>
        <w:rPr>
          <w:lang w:eastAsia="it-IT"/>
        </w:rPr>
      </w:pPr>
    </w:p>
    <w:p w:rsidR="00B7510E" w:rsidRPr="00B7510E" w:rsidRDefault="00B7510E" w:rsidP="00B7510E">
      <w:pPr>
        <w:rPr>
          <w:lang w:eastAsia="it-IT"/>
        </w:rPr>
      </w:pPr>
    </w:p>
    <w:p w:rsidR="006F0160" w:rsidRDefault="006F0160" w:rsidP="006F0160">
      <w:pPr>
        <w:pStyle w:val="Titolo2"/>
        <w:rPr>
          <w:rFonts w:eastAsia="Times New Roman"/>
          <w:lang w:eastAsia="it-IT"/>
        </w:rPr>
      </w:pPr>
      <w:bookmarkStart w:id="1" w:name="_Toc43990579"/>
      <w:r w:rsidRPr="006F0160">
        <w:rPr>
          <w:rFonts w:eastAsia="Times New Roman"/>
          <w:lang w:eastAsia="it-IT"/>
        </w:rPr>
        <w:lastRenderedPageBreak/>
        <w:t>Capo II</w:t>
      </w:r>
      <w:r w:rsidRPr="006F0160">
        <w:rPr>
          <w:rFonts w:eastAsia="Times New Roman"/>
          <w:lang w:eastAsia="it-IT"/>
        </w:rPr>
        <w:br/>
        <w:t>Regime quadro della disciplina degli aiuti</w:t>
      </w:r>
      <w:bookmarkEnd w:id="1"/>
    </w:p>
    <w:p w:rsidR="006F0160" w:rsidRDefault="006F0160" w:rsidP="006F0160">
      <w:pPr>
        <w:rPr>
          <w:lang w:eastAsia="it-IT"/>
        </w:rPr>
      </w:pPr>
    </w:p>
    <w:p w:rsidR="006F0160" w:rsidRDefault="006F0160" w:rsidP="006F0160">
      <w:pPr>
        <w:pStyle w:val="Titolo3"/>
        <w:rPr>
          <w:shd w:val="clear" w:color="auto" w:fill="F9F8F4"/>
        </w:rPr>
      </w:pPr>
      <w:bookmarkStart w:id="2" w:name="_Toc43990580"/>
      <w:r>
        <w:rPr>
          <w:shd w:val="clear" w:color="auto" w:fill="F9F8F4"/>
        </w:rPr>
        <w:t>Art. 54 Aiuti sotto forma di sovvenzioni dirette, anticipi rimborsabili o agevolazioni fiscali</w:t>
      </w:r>
      <w:bookmarkEnd w:id="2"/>
    </w:p>
    <w:p w:rsidR="006F0160" w:rsidRPr="006F0160" w:rsidRDefault="006F0160" w:rsidP="006F0160"/>
    <w:p w:rsidR="006F0160" w:rsidRDefault="006F0160" w:rsidP="006F0160">
      <w:pPr>
        <w:rPr>
          <w:color w:val="000000"/>
          <w:shd w:val="clear" w:color="auto" w:fill="F9F8F4"/>
        </w:rPr>
      </w:pPr>
      <w:r>
        <w:rPr>
          <w:color w:val="000000"/>
          <w:shd w:val="clear" w:color="auto" w:fill="F9F8F4"/>
        </w:rPr>
        <w:t xml:space="preserve">1. Le Regioni, le Province autonome, anche promuovendo eventuali azioni di coordinamento in sede di Conferenza delle Regioni e delle Province autonome, gli altri enti territoriali, le Camere di commercio possono adottare misure di aiuto, a valere sulle proprie risorse, ai sensi della sezione 3.1 della Comunicazione della Commissione europea C (2020) 1863 final - "Quadro temporaneo per le misure di aiuto di Stato a sostegno dell'economia nell'attuale emergenza del COVID-19 " e successive modifiche e integrazioni, nei limiti e alle condizioni di cui alla medesima Comunicazione ed al presente articolo, fino a un importo di 800.000 euro per impresa, salvo i diversi limiti per le imprese di cui al comma 3. </w:t>
      </w:r>
    </w:p>
    <w:p w:rsidR="006F0160" w:rsidRPr="006F0160" w:rsidRDefault="006F0160" w:rsidP="006F0160">
      <w:pPr>
        <w:rPr>
          <w:b/>
          <w:color w:val="000000"/>
          <w:shd w:val="clear" w:color="auto" w:fill="F9F8F4"/>
        </w:rPr>
      </w:pPr>
      <w:r>
        <w:rPr>
          <w:color w:val="000000"/>
          <w:shd w:val="clear" w:color="auto" w:fill="F9F8F4"/>
        </w:rPr>
        <w:t xml:space="preserve">2. </w:t>
      </w:r>
      <w:r w:rsidRPr="006F0160">
        <w:rPr>
          <w:b/>
          <w:color w:val="000000"/>
          <w:shd w:val="clear" w:color="auto" w:fill="F9F8F4"/>
        </w:rPr>
        <w:t xml:space="preserve">L'aiuto puo' essere concesso sotto forma di sovvenzioni dirette, agevolazioni fiscali e di pagamento o in altre forme, quali anticipi rimborsabili, garanzie, prestiti e partecipazioni, a condizione che il valore nominale totale di tali misure rimanga al di sotto del massimale di 800 000 euro per impresa; tutti i valori utilizzati devono essere al lordo di qualsiasi imposta o altro onere. </w:t>
      </w:r>
    </w:p>
    <w:p w:rsidR="006F0160" w:rsidRPr="006F0160" w:rsidRDefault="006F0160" w:rsidP="006F0160">
      <w:pPr>
        <w:rPr>
          <w:color w:val="000000"/>
          <w:shd w:val="clear" w:color="auto" w:fill="F9F8F4"/>
        </w:rPr>
      </w:pPr>
      <w:r>
        <w:rPr>
          <w:color w:val="000000"/>
          <w:shd w:val="clear" w:color="auto" w:fill="F9F8F4"/>
        </w:rPr>
        <w:t xml:space="preserve">3. </w:t>
      </w:r>
      <w:r w:rsidRPr="006F0160">
        <w:rPr>
          <w:b/>
          <w:color w:val="000000"/>
          <w:shd w:val="clear" w:color="auto" w:fill="F9F8F4"/>
        </w:rPr>
        <w:t xml:space="preserve">Gli aiuti non possono superare l'importo di 120.000 euro per ogni impresa attiva nel settore della pesca e dell'acquacoltura e 100.000 euro per ogni impresa attiva nella settore della produzione primaria di prodotti agricoli. Tutti i valori utilizzati sono al lordo di qualsiasi </w:t>
      </w:r>
      <w:r w:rsidRPr="006F0160">
        <w:rPr>
          <w:color w:val="000000"/>
          <w:shd w:val="clear" w:color="auto" w:fill="F9F8F4"/>
        </w:rPr>
        <w:t xml:space="preserve">imposta o altro onere. </w:t>
      </w:r>
    </w:p>
    <w:p w:rsidR="006F0160" w:rsidRPr="006F0160" w:rsidRDefault="006F0160" w:rsidP="006F0160">
      <w:pPr>
        <w:rPr>
          <w:color w:val="000000"/>
          <w:shd w:val="clear" w:color="auto" w:fill="F9F8F4"/>
        </w:rPr>
      </w:pPr>
      <w:r w:rsidRPr="006F0160">
        <w:rPr>
          <w:color w:val="000000"/>
          <w:shd w:val="clear" w:color="auto" w:fill="F9F8F4"/>
        </w:rPr>
        <w:t xml:space="preserve">4. Gli aiuti alle imprese attive nella produzione primaria di prodotti agricoli non devono essere fissati sulla base del prezzo o della quantita' dei prodotti immessi sul mercato. </w:t>
      </w:r>
    </w:p>
    <w:p w:rsidR="006F0160" w:rsidRDefault="006F0160" w:rsidP="006F0160">
      <w:pPr>
        <w:rPr>
          <w:color w:val="000000"/>
          <w:shd w:val="clear" w:color="auto" w:fill="F9F8F4"/>
        </w:rPr>
      </w:pPr>
      <w:r>
        <w:rPr>
          <w:color w:val="000000"/>
          <w:shd w:val="clear" w:color="auto" w:fill="F9F8F4"/>
        </w:rPr>
        <w:lastRenderedPageBreak/>
        <w:t xml:space="preserve">5. Gli aiuti concessi ad imprese operanti nella trasformazione e commercializzazione di prodotti agricoli devono essere subordinati alle condizioni dettate dal punto 22, lettera e) della Comunicazione di cui al comma 1. </w:t>
      </w:r>
    </w:p>
    <w:p w:rsidR="006F0160" w:rsidRDefault="006F0160" w:rsidP="006F0160">
      <w:pPr>
        <w:rPr>
          <w:color w:val="000000"/>
          <w:shd w:val="clear" w:color="auto" w:fill="F9F8F4"/>
        </w:rPr>
      </w:pPr>
      <w:r>
        <w:rPr>
          <w:color w:val="000000"/>
          <w:shd w:val="clear" w:color="auto" w:fill="F9F8F4"/>
        </w:rPr>
        <w:t xml:space="preserve">6. Gli aiuti alle imprese attive nel settore della pesca e dell'acquacoltura non riguardano nessuna delle categorie di aiuti di cui all'articolo 1, paragrafo 1, lettere da a) a k), del regolamento (UE) n. 717/2014 della Commissione. </w:t>
      </w:r>
    </w:p>
    <w:p w:rsidR="006F0160" w:rsidRDefault="006F0160" w:rsidP="006F0160">
      <w:pPr>
        <w:rPr>
          <w:color w:val="000000"/>
          <w:shd w:val="clear" w:color="auto" w:fill="F9F8F4"/>
        </w:rPr>
      </w:pPr>
      <w:r>
        <w:rPr>
          <w:color w:val="000000"/>
          <w:shd w:val="clear" w:color="auto" w:fill="F9F8F4"/>
        </w:rPr>
        <w:t>7. Nel caso in cui un'impresa sia attiva in diversi settori a cui si applicano importi massimi diversi, conformemente al comma 2 e al comma 3, deve essere assicurato con mezzi adeguati, quali la separazione contabile, che per ciascuna di tali attivita' sia rispettato il massimale pertinente e che in totale non sia superato l'importo massimo possibile.</w:t>
      </w:r>
    </w:p>
    <w:p w:rsidR="006F0160" w:rsidRDefault="006F0160" w:rsidP="006F0160">
      <w:pPr>
        <w:rPr>
          <w:color w:val="000000"/>
          <w:shd w:val="clear" w:color="auto" w:fill="F9F8F4"/>
        </w:rPr>
      </w:pPr>
    </w:p>
    <w:p w:rsidR="006F0160" w:rsidRDefault="006F0160" w:rsidP="006F0160">
      <w:pPr>
        <w:pStyle w:val="Titolo3"/>
        <w:rPr>
          <w:shd w:val="clear" w:color="auto" w:fill="F9F8F4"/>
        </w:rPr>
      </w:pPr>
      <w:bookmarkStart w:id="3" w:name="_Toc43990581"/>
      <w:r>
        <w:rPr>
          <w:shd w:val="clear" w:color="auto" w:fill="F9F8F4"/>
        </w:rPr>
        <w:t>Art. 60 Aiuti sotto forma di sovvenzioni per il pagamento dei salari dei dipendenti per evitare i licenziamenti durante la pandemia di COVID-19 1.</w:t>
      </w:r>
      <w:bookmarkEnd w:id="3"/>
      <w:r>
        <w:rPr>
          <w:shd w:val="clear" w:color="auto" w:fill="F9F8F4"/>
        </w:rPr>
        <w:t xml:space="preserve"> </w:t>
      </w:r>
    </w:p>
    <w:p w:rsidR="006F0160" w:rsidRDefault="006F0160" w:rsidP="006F0160">
      <w:pPr>
        <w:rPr>
          <w:color w:val="000000"/>
          <w:shd w:val="clear" w:color="auto" w:fill="F9F8F4"/>
        </w:rPr>
      </w:pPr>
      <w:r>
        <w:rPr>
          <w:color w:val="000000"/>
          <w:shd w:val="clear" w:color="auto" w:fill="F9F8F4"/>
        </w:rPr>
        <w:t xml:space="preserve">Le Regioni, le Provincie autonome, anche promuovendo eventuali azioni di coordinamento in sede di Conferenza delle Regioni e delle Province autonome, gli altri enti territoriali, le Camere di commercio possono adottare misure di aiuto, a valere sulle proprie risorse, ai sensi della sezione 3.10 della Comunicazione della Commissione europea C (2020) 1863 final - "Quadro temporaneo per le misure di aiuto di Stato a sostegno dell'economia nell'attuale emergenza del COVID-19 " e successive modifiche e integrazioni nei limiti e alle condizioni di cui alla medesima Comunicazione ed al presente articolo. </w:t>
      </w:r>
    </w:p>
    <w:p w:rsidR="006F0160" w:rsidRDefault="006F0160" w:rsidP="006F0160">
      <w:pPr>
        <w:rPr>
          <w:color w:val="000000"/>
          <w:shd w:val="clear" w:color="auto" w:fill="F9F8F4"/>
        </w:rPr>
      </w:pPr>
      <w:r>
        <w:rPr>
          <w:color w:val="000000"/>
          <w:shd w:val="clear" w:color="auto" w:fill="F9F8F4"/>
        </w:rPr>
        <w:t xml:space="preserve">2. Gli aiuti di cui al presente articolo sono concessi al fine di contribuire ai costi salariali, ivi comprese le quote contributive e assistenziali, delle imprese, compresi i lavoratori autonomi, e sono destinati ad evitare i licenziamenti durante la pandemia di COVID-19. </w:t>
      </w:r>
      <w:r>
        <w:rPr>
          <w:color w:val="000000"/>
          <w:shd w:val="clear" w:color="auto" w:fill="F9F8F4"/>
        </w:rPr>
        <w:lastRenderedPageBreak/>
        <w:t xml:space="preserve">3. Gli aiuti di cui al presente articolo sono concessi sotto forma di regimi destinati alle imprese di determinati settori o regioni o di determinate dimensioni, particolarmente colpite dalla pandemia di COVID-19. </w:t>
      </w:r>
    </w:p>
    <w:p w:rsidR="006F0160" w:rsidRDefault="006F0160" w:rsidP="006F0160">
      <w:pPr>
        <w:rPr>
          <w:color w:val="000000"/>
          <w:shd w:val="clear" w:color="auto" w:fill="F9F8F4"/>
        </w:rPr>
      </w:pPr>
      <w:r>
        <w:rPr>
          <w:color w:val="000000"/>
          <w:shd w:val="clear" w:color="auto" w:fill="F9F8F4"/>
        </w:rPr>
        <w:t>4</w:t>
      </w:r>
      <w:r w:rsidRPr="006F0160">
        <w:rPr>
          <w:b/>
          <w:color w:val="000000"/>
          <w:shd w:val="clear" w:color="auto" w:fill="F9F8F4"/>
        </w:rPr>
        <w:t>. La sovvenzione per il pagamento dei salari viene concessa per un periodo non superiore a dodici mesi a decorrere dalla domanda di aiuto ovvero dalla data di inizio dell'imputabilita' della sovvenzione se anteriore, per i dipendenti che altrimenti sarebbero stati licenziati a seguito della sospensione o della riduzione delle attivita' aziendali dovuta alla pandemia di COVID-19 e a condizione che il personale che ne beneficia continui a svolgere in modo continuativo l'attivita' lavorativa durante tutto il periodo per il quale e' concesso l'aiuto.</w:t>
      </w:r>
      <w:r>
        <w:rPr>
          <w:color w:val="000000"/>
          <w:shd w:val="clear" w:color="auto" w:fill="F9F8F4"/>
        </w:rPr>
        <w:t xml:space="preserve"> L'imputabilita' della sovvenzione per il pagamento dei salari puo' essere retrodatata al 1° febbraio 2020. </w:t>
      </w:r>
    </w:p>
    <w:p w:rsidR="00B7510E" w:rsidRDefault="006F0160" w:rsidP="006F0160">
      <w:pPr>
        <w:rPr>
          <w:color w:val="000000"/>
          <w:shd w:val="clear" w:color="auto" w:fill="F9F8F4"/>
        </w:rPr>
      </w:pPr>
      <w:r>
        <w:rPr>
          <w:color w:val="000000"/>
          <w:shd w:val="clear" w:color="auto" w:fill="F9F8F4"/>
        </w:rPr>
        <w:t xml:space="preserve">5. La sovvenzione mensile per il pagamento dei salari non supera l'80 % della retribuzione mensile lorda (compresi i contributi previdenziali a carico del datore di lavoro) del personale beneficiario. </w:t>
      </w:r>
    </w:p>
    <w:p w:rsidR="00B7510E" w:rsidRDefault="006F0160" w:rsidP="006F0160">
      <w:pPr>
        <w:rPr>
          <w:color w:val="000000"/>
          <w:shd w:val="clear" w:color="auto" w:fill="F9F8F4"/>
        </w:rPr>
      </w:pPr>
      <w:r>
        <w:rPr>
          <w:color w:val="000000"/>
          <w:shd w:val="clear" w:color="auto" w:fill="F9F8F4"/>
        </w:rPr>
        <w:t>6</w:t>
      </w:r>
      <w:r w:rsidRPr="00B7510E">
        <w:rPr>
          <w:b/>
          <w:color w:val="000000"/>
          <w:shd w:val="clear" w:color="auto" w:fill="F9F8F4"/>
        </w:rPr>
        <w:t>. La sovvenzione per il pagamento dei salari puo' essere combinata con altre misure di sostegno all'occupazione generalmente disponibili o selettive, purche' il sostegno combinato non comporti una sovracompensazione dei costi salariali relativi al personale interessato. Le sovvenzioni per il pagamento dei salari possono essere inoltre combinate con i differimenti delle imposte e i differimenti dei pagamenti dei contributi previdenziali.</w:t>
      </w:r>
      <w:r>
        <w:rPr>
          <w:color w:val="000000"/>
          <w:shd w:val="clear" w:color="auto" w:fill="F9F8F4"/>
        </w:rPr>
        <w:t xml:space="preserve"> </w:t>
      </w:r>
    </w:p>
    <w:p w:rsidR="006F0160" w:rsidRDefault="006F0160" w:rsidP="006F0160">
      <w:pPr>
        <w:rPr>
          <w:color w:val="000000"/>
          <w:shd w:val="clear" w:color="auto" w:fill="F9F8F4"/>
        </w:rPr>
      </w:pPr>
      <w:r>
        <w:rPr>
          <w:color w:val="000000"/>
          <w:shd w:val="clear" w:color="auto" w:fill="F9F8F4"/>
        </w:rPr>
        <w:t>7. Gli aiuti di cui al presente articolo non possono in alcun caso consistere in trattamenti di integrazione salariale di cui al decreto legislativo 14 settembre 2015, n. 148 e degli artt. da 19 a 22 del decreto legge 17 marzo 2020, n. 18, convertito, con modificazioni, dalla legge 24 aprile 2020, n. 27.</w:t>
      </w:r>
    </w:p>
    <w:p w:rsidR="00EF5392" w:rsidRDefault="00EF5392"/>
    <w:sectPr w:rsidR="00EF5392" w:rsidSect="00B953AA">
      <w:footerReference w:type="default" r:id="rId8"/>
      <w:footerReference w:type="first" r:id="rId9"/>
      <w:pgSz w:w="9180" w:h="12979" w:code="150"/>
      <w:pgMar w:top="1134" w:right="1134" w:bottom="1134" w:left="1134" w:header="567" w:footer="567" w:gutter="0"/>
      <w:cols w:space="708"/>
      <w:titlePg/>
      <w:docGrid w:linePitch="3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FFE" w:rsidRDefault="00AA6FFE" w:rsidP="00B7510E">
      <w:pPr>
        <w:spacing w:after="0" w:line="240" w:lineRule="auto"/>
      </w:pPr>
      <w:r>
        <w:separator/>
      </w:r>
    </w:p>
  </w:endnote>
  <w:endnote w:type="continuationSeparator" w:id="0">
    <w:p w:rsidR="00AA6FFE" w:rsidRDefault="00AA6FFE" w:rsidP="00B75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5772202"/>
      <w:docPartObj>
        <w:docPartGallery w:val="Page Numbers (Bottom of Page)"/>
        <w:docPartUnique/>
      </w:docPartObj>
    </w:sdtPr>
    <w:sdtContent>
      <w:p w:rsidR="00B7510E" w:rsidRDefault="00B7510E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3D23">
          <w:rPr>
            <w:noProof/>
          </w:rPr>
          <w:t>2</w:t>
        </w:r>
        <w:r>
          <w:fldChar w:fldCharType="end"/>
        </w:r>
      </w:p>
    </w:sdtContent>
  </w:sdt>
  <w:p w:rsidR="00B7510E" w:rsidRDefault="00B7510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81088430"/>
      <w:docPartObj>
        <w:docPartGallery w:val="Page Numbers (Bottom of Page)"/>
        <w:docPartUnique/>
      </w:docPartObj>
    </w:sdtPr>
    <w:sdtContent>
      <w:p w:rsidR="00B7510E" w:rsidRDefault="00B7510E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3D23">
          <w:rPr>
            <w:noProof/>
          </w:rPr>
          <w:t>1</w:t>
        </w:r>
        <w:r>
          <w:fldChar w:fldCharType="end"/>
        </w:r>
      </w:p>
    </w:sdtContent>
  </w:sdt>
  <w:p w:rsidR="00B7510E" w:rsidRDefault="00B7510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FFE" w:rsidRDefault="00AA6FFE" w:rsidP="00B7510E">
      <w:pPr>
        <w:spacing w:after="0" w:line="240" w:lineRule="auto"/>
      </w:pPr>
      <w:r>
        <w:separator/>
      </w:r>
    </w:p>
  </w:footnote>
  <w:footnote w:type="continuationSeparator" w:id="0">
    <w:p w:rsidR="00AA6FFE" w:rsidRDefault="00AA6FFE" w:rsidP="00B751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75F56"/>
    <w:multiLevelType w:val="multilevel"/>
    <w:tmpl w:val="442E0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drawingGridHorizontalSpacing w:val="135"/>
  <w:drawingGridVerticalSpacing w:val="367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160"/>
    <w:rsid w:val="00623D23"/>
    <w:rsid w:val="006F0160"/>
    <w:rsid w:val="00AA6FFE"/>
    <w:rsid w:val="00B7510E"/>
    <w:rsid w:val="00B953AA"/>
    <w:rsid w:val="00EF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857CBD-AD5B-4057-9FD0-254D61FF3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F0160"/>
    <w:rPr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751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F016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6F016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6F016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6F016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7510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sommario">
    <w:name w:val="TOC Heading"/>
    <w:basedOn w:val="Titolo1"/>
    <w:next w:val="Normale"/>
    <w:uiPriority w:val="39"/>
    <w:unhideWhenUsed/>
    <w:qFormat/>
    <w:rsid w:val="00B7510E"/>
    <w:pPr>
      <w:outlineLvl w:val="9"/>
    </w:pPr>
    <w:rPr>
      <w:lang w:eastAsia="it-IT"/>
    </w:rPr>
  </w:style>
  <w:style w:type="paragraph" w:styleId="Sommario2">
    <w:name w:val="toc 2"/>
    <w:basedOn w:val="Normale"/>
    <w:next w:val="Normale"/>
    <w:autoRedefine/>
    <w:uiPriority w:val="39"/>
    <w:unhideWhenUsed/>
    <w:rsid w:val="00B7510E"/>
    <w:pPr>
      <w:spacing w:after="100"/>
      <w:ind w:left="240"/>
    </w:pPr>
  </w:style>
  <w:style w:type="paragraph" w:styleId="Sommario3">
    <w:name w:val="toc 3"/>
    <w:basedOn w:val="Normale"/>
    <w:next w:val="Normale"/>
    <w:autoRedefine/>
    <w:uiPriority w:val="39"/>
    <w:unhideWhenUsed/>
    <w:rsid w:val="00B7510E"/>
    <w:pPr>
      <w:spacing w:after="100"/>
      <w:ind w:left="480"/>
    </w:pPr>
  </w:style>
  <w:style w:type="character" w:styleId="Collegamentoipertestuale">
    <w:name w:val="Hyperlink"/>
    <w:basedOn w:val="Carpredefinitoparagrafo"/>
    <w:uiPriority w:val="99"/>
    <w:unhideWhenUsed/>
    <w:rsid w:val="00B7510E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B751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7510E"/>
    <w:rPr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B751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7510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28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6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546B32-2D27-4C45-BA18-AB121D45A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887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Casetta</dc:creator>
  <cp:keywords/>
  <dc:description/>
  <cp:lastModifiedBy>Casetta</cp:lastModifiedBy>
  <cp:revision>3</cp:revision>
  <dcterms:created xsi:type="dcterms:W3CDTF">2020-06-25T12:58:00Z</dcterms:created>
  <dcterms:modified xsi:type="dcterms:W3CDTF">2020-06-25T13:17:00Z</dcterms:modified>
</cp:coreProperties>
</file>